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9E7FFD1"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#10</w:t>
      </w:r>
      <w:r w:rsidR="003A3549">
        <w:rPr>
          <w:bCs/>
          <w:noProof w:val="0"/>
          <w:sz w:val="24"/>
          <w:szCs w:val="24"/>
        </w:rPr>
        <w:t>2</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123445">
        <w:rPr>
          <w:bCs/>
          <w:noProof w:val="0"/>
          <w:sz w:val="24"/>
          <w:szCs w:val="24"/>
        </w:rPr>
        <w:t>07884</w:t>
      </w:r>
      <w:bookmarkStart w:id="0" w:name="_GoBack"/>
      <w:bookmarkEnd w:id="0"/>
    </w:p>
    <w:p w14:paraId="231362B2" w14:textId="55BDDC3F" w:rsidR="00CD4C7B" w:rsidRPr="00B266B0" w:rsidRDefault="00295AFC" w:rsidP="00CD4C7B">
      <w:pPr>
        <w:pStyle w:val="Header"/>
        <w:tabs>
          <w:tab w:val="right" w:pos="9639"/>
        </w:tabs>
        <w:rPr>
          <w:bCs/>
          <w:noProof w:val="0"/>
          <w:sz w:val="24"/>
          <w:szCs w:val="24"/>
        </w:rPr>
      </w:pPr>
      <w:r>
        <w:rPr>
          <w:rFonts w:eastAsia="SimSun"/>
          <w:noProof w:val="0"/>
          <w:sz w:val="24"/>
          <w:szCs w:val="24"/>
          <w:lang w:eastAsia="zh-CN"/>
        </w:rPr>
        <w:t>Busan</w:t>
      </w:r>
      <w:r w:rsidR="00231728" w:rsidRPr="00231728">
        <w:rPr>
          <w:rFonts w:eastAsia="SimSun"/>
          <w:noProof w:val="0"/>
          <w:sz w:val="24"/>
          <w:szCs w:val="24"/>
          <w:lang w:eastAsia="zh-CN"/>
        </w:rPr>
        <w:t xml:space="preserve">, </w:t>
      </w:r>
      <w:r w:rsidR="007B4A9F">
        <w:rPr>
          <w:rFonts w:eastAsia="SimSun"/>
          <w:noProof w:val="0"/>
          <w:sz w:val="24"/>
          <w:szCs w:val="24"/>
          <w:lang w:eastAsia="zh-CN"/>
        </w:rPr>
        <w:t>South</w:t>
      </w:r>
      <w:r>
        <w:rPr>
          <w:rFonts w:eastAsia="SimSun"/>
          <w:noProof w:val="0"/>
          <w:sz w:val="24"/>
          <w:szCs w:val="24"/>
          <w:lang w:eastAsia="zh-CN"/>
        </w:rPr>
        <w:t xml:space="preserve"> Korea</w:t>
      </w:r>
      <w:r w:rsidR="00231728" w:rsidRPr="00231728">
        <w:rPr>
          <w:rFonts w:eastAsia="SimSun"/>
          <w:noProof w:val="0"/>
          <w:sz w:val="24"/>
          <w:szCs w:val="24"/>
          <w:lang w:eastAsia="zh-CN"/>
        </w:rPr>
        <w:t xml:space="preserve">, </w:t>
      </w:r>
      <w:r>
        <w:rPr>
          <w:rFonts w:eastAsia="SimSun"/>
          <w:noProof w:val="0"/>
          <w:sz w:val="24"/>
          <w:szCs w:val="24"/>
          <w:lang w:eastAsia="zh-CN"/>
        </w:rPr>
        <w:t>21</w:t>
      </w:r>
      <w:r w:rsidRPr="00295AFC">
        <w:rPr>
          <w:rFonts w:eastAsia="SimSun"/>
          <w:noProof w:val="0"/>
          <w:sz w:val="24"/>
          <w:szCs w:val="24"/>
          <w:vertAlign w:val="superscript"/>
          <w:lang w:eastAsia="zh-CN"/>
        </w:rPr>
        <w:t>st</w:t>
      </w:r>
      <w:r>
        <w:rPr>
          <w:rFonts w:eastAsia="SimSun"/>
          <w:noProof w:val="0"/>
          <w:sz w:val="24"/>
          <w:szCs w:val="24"/>
          <w:lang w:eastAsia="zh-CN"/>
        </w:rPr>
        <w:t xml:space="preserve"> – 25</w:t>
      </w:r>
      <w:r w:rsidRPr="00295AFC">
        <w:rPr>
          <w:rFonts w:eastAsia="SimSun"/>
          <w:noProof w:val="0"/>
          <w:sz w:val="24"/>
          <w:szCs w:val="24"/>
          <w:vertAlign w:val="superscript"/>
          <w:lang w:eastAsia="zh-CN"/>
        </w:rPr>
        <w:t>th</w:t>
      </w:r>
      <w:r w:rsidR="007B4A9F">
        <w:rPr>
          <w:rFonts w:eastAsia="SimSun"/>
          <w:noProof w:val="0"/>
          <w:sz w:val="24"/>
          <w:szCs w:val="24"/>
          <w:lang w:eastAsia="zh-CN"/>
        </w:rPr>
        <w:t xml:space="preserve"> </w:t>
      </w:r>
      <w:r>
        <w:rPr>
          <w:rFonts w:eastAsia="SimSun"/>
          <w:noProof w:val="0"/>
          <w:sz w:val="24"/>
          <w:szCs w:val="24"/>
          <w:lang w:eastAsia="zh-CN"/>
        </w:rPr>
        <w:t>May</w:t>
      </w:r>
      <w:r w:rsidR="00231728" w:rsidRPr="00231728">
        <w:rPr>
          <w:rFonts w:eastAsia="SimSun"/>
          <w:noProof w:val="0"/>
          <w:sz w:val="24"/>
          <w:szCs w:val="24"/>
          <w:lang w:eastAsia="zh-CN"/>
        </w:rPr>
        <w:t xml:space="preserve">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B3AE219"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B4A9F">
        <w:rPr>
          <w:rFonts w:cs="Arial"/>
          <w:b/>
          <w:bCs/>
          <w:sz w:val="24"/>
          <w:lang w:eastAsia="ja-JP"/>
        </w:rPr>
        <w:t>9.18.4</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0176E97" w:rsidR="00CD4C7B" w:rsidRDefault="00A84478"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302D66">
        <w:rPr>
          <w:rFonts w:ascii="Arial" w:hAnsi="Arial" w:cs="Arial"/>
          <w:b/>
          <w:bCs/>
          <w:sz w:val="24"/>
        </w:rPr>
        <w:t>On the remaining</w:t>
      </w:r>
      <w:r w:rsidR="00DB7654">
        <w:rPr>
          <w:rFonts w:ascii="Arial" w:hAnsi="Arial" w:cs="Arial"/>
          <w:b/>
          <w:bCs/>
          <w:sz w:val="24"/>
        </w:rPr>
        <w:t xml:space="preserve"> issues </w:t>
      </w:r>
      <w:r w:rsidR="00302D66">
        <w:rPr>
          <w:rFonts w:ascii="Arial" w:hAnsi="Arial" w:cs="Arial"/>
          <w:b/>
          <w:bCs/>
          <w:sz w:val="24"/>
        </w:rPr>
        <w:t>for</w:t>
      </w:r>
      <w:r w:rsidR="00DB7654">
        <w:rPr>
          <w:rFonts w:ascii="Arial" w:hAnsi="Arial" w:cs="Arial"/>
          <w:b/>
          <w:bCs/>
          <w:sz w:val="24"/>
        </w:rPr>
        <w:t xml:space="preserve"> UAV</w:t>
      </w:r>
      <w:r w:rsidR="00123445">
        <w:rPr>
          <w:rFonts w:ascii="Arial" w:hAnsi="Arial" w:cs="Arial"/>
          <w:b/>
          <w:bCs/>
          <w:sz w:val="24"/>
        </w:rPr>
        <w:t>’s</w:t>
      </w:r>
      <w:r w:rsidR="00DB7654">
        <w:rPr>
          <w:rFonts w:ascii="Arial" w:hAnsi="Arial" w:cs="Arial"/>
          <w:b/>
          <w:bCs/>
          <w:sz w:val="24"/>
        </w:rPr>
        <w:t xml:space="preserve"> measurement</w:t>
      </w:r>
      <w:r w:rsidR="003A115B">
        <w:rPr>
          <w:rFonts w:ascii="Arial" w:hAnsi="Arial" w:cs="Arial"/>
          <w:b/>
          <w:bCs/>
          <w:sz w:val="24"/>
        </w:rPr>
        <w:t>s</w:t>
      </w:r>
      <w:r w:rsidR="00DB7654">
        <w:rPr>
          <w:rFonts w:ascii="Arial" w:hAnsi="Arial" w:cs="Arial"/>
          <w:b/>
          <w:bCs/>
          <w:sz w:val="24"/>
        </w:rPr>
        <w:t xml:space="preserve"> triggering and reporting </w:t>
      </w:r>
    </w:p>
    <w:p w14:paraId="3AC3A0B1" w14:textId="7DA066AA"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84478" w:rsidRPr="00A84478">
        <w:rPr>
          <w:rFonts w:ascii="Arial" w:hAnsi="Arial" w:cs="Arial"/>
          <w:b/>
          <w:bCs/>
          <w:sz w:val="24"/>
        </w:rPr>
        <w:t>LTE_Aerial-Core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BDFE30F" w14:textId="77777777" w:rsidR="00655497" w:rsidRDefault="00D14F57" w:rsidP="00655497">
      <w:r>
        <w:t>During the 3GPP RAN2#101</w:t>
      </w:r>
      <w:r w:rsidR="00655497">
        <w:t>bis</w:t>
      </w:r>
      <w:r>
        <w:t xml:space="preserve"> meeting</w:t>
      </w:r>
      <w:r w:rsidR="00655497">
        <w:t xml:space="preserve"> plenty of discussion on the measurement reporting enhancements took place. RAN2#101bis has taken the following related agreements:</w:t>
      </w:r>
    </w:p>
    <w:tbl>
      <w:tblPr>
        <w:tblStyle w:val="TableGrid"/>
        <w:tblW w:w="0" w:type="auto"/>
        <w:tblLook w:val="04A0" w:firstRow="1" w:lastRow="0" w:firstColumn="1" w:lastColumn="0" w:noHBand="0" w:noVBand="1"/>
      </w:tblPr>
      <w:tblGrid>
        <w:gridCol w:w="9631"/>
      </w:tblGrid>
      <w:tr w:rsidR="00655497" w14:paraId="654B5963" w14:textId="77777777" w:rsidTr="00655497">
        <w:tc>
          <w:tcPr>
            <w:tcW w:w="9631" w:type="dxa"/>
          </w:tcPr>
          <w:p w14:paraId="44B8BA4B" w14:textId="77777777" w:rsidR="00BE4D08" w:rsidRDefault="00BE4D08" w:rsidP="00BE4D08">
            <w:r>
              <w:t>2</w:t>
            </w:r>
            <w:r>
              <w:tab/>
              <w:t>Event of UE’s height is above threshold(s) can trigger report. The content of the report are FFS. It can be discussed in the running RRC CR email discussion.</w:t>
            </w:r>
          </w:p>
          <w:p w14:paraId="7C9E7069" w14:textId="7DCFB838" w:rsidR="00BE4D08" w:rsidRDefault="00BE4D08" w:rsidP="00BE4D08">
            <w:r>
              <w:t>3</w:t>
            </w:r>
            <w:r>
              <w:tab/>
              <w:t xml:space="preserve">Introduce the number of triggered cells for interference detection for UAV UE. FFS the sum of RSRP. </w:t>
            </w:r>
          </w:p>
        </w:tc>
      </w:tr>
    </w:tbl>
    <w:p w14:paraId="0BBDFC0A" w14:textId="1A25E579" w:rsidR="00CD4C7B" w:rsidRPr="006E13D1" w:rsidRDefault="00DB7654" w:rsidP="00655497">
      <w:r>
        <w:br/>
      </w:r>
      <w:r w:rsidR="00655497">
        <w:t>Several aspects have been also conducted via running RRC CR e-mail discussion (</w:t>
      </w:r>
      <w:r w:rsidR="00A14CD2">
        <w:t xml:space="preserve">resulting CR can be found </w:t>
      </w:r>
      <w:r w:rsidR="00655497">
        <w:t xml:space="preserve">in </w:t>
      </w:r>
      <w:r w:rsidR="00A14CD2">
        <w:rPr>
          <w:highlight w:val="yellow"/>
        </w:rPr>
        <w:fldChar w:fldCharType="begin"/>
      </w:r>
      <w:r w:rsidR="00A14CD2">
        <w:instrText xml:space="preserve"> REF _Ref513469502 \r \h </w:instrText>
      </w:r>
      <w:r w:rsidR="00A14CD2">
        <w:rPr>
          <w:highlight w:val="yellow"/>
        </w:rPr>
      </w:r>
      <w:r w:rsidR="00A14CD2">
        <w:rPr>
          <w:highlight w:val="yellow"/>
        </w:rPr>
        <w:fldChar w:fldCharType="separate"/>
      </w:r>
      <w:r w:rsidR="00A14CD2">
        <w:t>[1]</w:t>
      </w:r>
      <w:r w:rsidR="00A14CD2">
        <w:rPr>
          <w:highlight w:val="yellow"/>
        </w:rPr>
        <w:fldChar w:fldCharType="end"/>
      </w:r>
      <w:r w:rsidR="00655497">
        <w:t>). This paper is aimed at addressing the remaining open issues</w:t>
      </w:r>
      <w:r>
        <w:t>.</w:t>
      </w:r>
    </w:p>
    <w:p w14:paraId="127ACA6D" w14:textId="731A8D3F" w:rsidR="00CD4C7B" w:rsidRPr="006E13D1" w:rsidRDefault="00602AE0" w:rsidP="00CD4C7B">
      <w:pPr>
        <w:pStyle w:val="Heading1"/>
      </w:pPr>
      <w:r>
        <w:t>2</w:t>
      </w:r>
      <w:r>
        <w:tab/>
        <w:t>Discussion</w:t>
      </w:r>
    </w:p>
    <w:p w14:paraId="67533749" w14:textId="38A9F447" w:rsidR="00647E2D" w:rsidRPr="006E13D1" w:rsidRDefault="00647E2D" w:rsidP="00647E2D">
      <w:pPr>
        <w:pStyle w:val="Heading2"/>
      </w:pPr>
      <w:bookmarkStart w:id="1" w:name="_Hlk510524870"/>
      <w:r>
        <w:t>2.1</w:t>
      </w:r>
      <w:r>
        <w:tab/>
      </w:r>
      <w:bookmarkEnd w:id="1"/>
      <w:r w:rsidR="00BE4D08">
        <w:t>Which events should be considered for “N cells triggering”</w:t>
      </w:r>
    </w:p>
    <w:p w14:paraId="2FC26C9D" w14:textId="5CEB23EE" w:rsidR="00D311DC" w:rsidRPr="0033178D" w:rsidRDefault="00B27487" w:rsidP="00BE4D08">
      <w:pPr>
        <w:jc w:val="both"/>
      </w:pPr>
      <w:r>
        <w:t>During the discussion concluded in</w:t>
      </w:r>
      <w:r w:rsidR="00A14CD2">
        <w:t xml:space="preserve"> </w:t>
      </w:r>
      <w:r w:rsidR="00A14CD2">
        <w:fldChar w:fldCharType="begin"/>
      </w:r>
      <w:r w:rsidR="00A14CD2">
        <w:instrText xml:space="preserve"> REF _Ref513469502 \r \h </w:instrText>
      </w:r>
      <w:r w:rsidR="00A14CD2">
        <w:fldChar w:fldCharType="separate"/>
      </w:r>
      <w:r w:rsidR="00A14CD2">
        <w:t>[1]</w:t>
      </w:r>
      <w:r w:rsidR="00A14CD2">
        <w:fldChar w:fldCharType="end"/>
      </w:r>
      <w:r w:rsidR="00FC29E3">
        <w:t xml:space="preserve">, it has been debated which measurement events shall be extended with the number of cells (N &gt;=1) triggering the associated reporting. It has been blindly assumed that only A4 can be taken into account </w:t>
      </w:r>
      <w:r w:rsidR="00FC29E3" w:rsidRPr="0033178D">
        <w:t>(i.e. “</w:t>
      </w:r>
      <w:r w:rsidR="00F01C51" w:rsidRPr="0033178D">
        <w:t>Neighbour becomes better than threshold</w:t>
      </w:r>
      <w:r w:rsidR="00FC29E3" w:rsidRPr="0033178D">
        <w:t>”)</w:t>
      </w:r>
      <w:r w:rsidR="00F01C51" w:rsidRPr="0033178D">
        <w:t xml:space="preserve">. This is a straightforward approach, the easiest to evaluate. Nevertheless, we believe, </w:t>
      </w:r>
      <w:r w:rsidR="0033178D" w:rsidRPr="0033178D">
        <w:t>other measurement events involving neighouring cells, could be also taken into account:</w:t>
      </w:r>
    </w:p>
    <w:p w14:paraId="30645272" w14:textId="0D7F4892" w:rsidR="0033178D" w:rsidRPr="0033178D" w:rsidRDefault="0033178D" w:rsidP="0033178D">
      <w:pPr>
        <w:pStyle w:val="ListParagraph"/>
        <w:numPr>
          <w:ilvl w:val="0"/>
          <w:numId w:val="9"/>
        </w:numPr>
        <w:jc w:val="both"/>
      </w:pPr>
      <w:r w:rsidRPr="0033178D">
        <w:t>A3 (</w:t>
      </w:r>
      <w:r w:rsidR="007F2602">
        <w:t>“</w:t>
      </w:r>
      <w:r w:rsidR="007F2602" w:rsidRPr="00CC7909">
        <w:t>Neighbour becomes offset better than PCell/ PSCell</w:t>
      </w:r>
      <w:r w:rsidR="007F2602">
        <w:t>”</w:t>
      </w:r>
      <w:r w:rsidRPr="0033178D">
        <w:t>)</w:t>
      </w:r>
    </w:p>
    <w:p w14:paraId="260BD4E8" w14:textId="107E4E8F" w:rsidR="0033178D" w:rsidRPr="0033178D" w:rsidRDefault="007F2602" w:rsidP="0033178D">
      <w:pPr>
        <w:pStyle w:val="ListParagraph"/>
        <w:numPr>
          <w:ilvl w:val="0"/>
          <w:numId w:val="9"/>
        </w:numPr>
        <w:jc w:val="both"/>
      </w:pPr>
      <w:r>
        <w:t>A5</w:t>
      </w:r>
      <w:r w:rsidR="0033178D" w:rsidRPr="0033178D">
        <w:t xml:space="preserve"> (</w:t>
      </w:r>
      <w:r>
        <w:t>“</w:t>
      </w:r>
      <w:r w:rsidRPr="00CC7909">
        <w:t>PCell/ PSCell becomes worse than threshold1 and neighbour becomes better than threshold2</w:t>
      </w:r>
      <w:r>
        <w:t>”</w:t>
      </w:r>
      <w:r w:rsidR="0033178D" w:rsidRPr="0033178D">
        <w:t>)</w:t>
      </w:r>
    </w:p>
    <w:p w14:paraId="74250143" w14:textId="39B76F0C" w:rsidR="0033178D" w:rsidRDefault="007F2602" w:rsidP="0033178D">
      <w:pPr>
        <w:jc w:val="both"/>
      </w:pPr>
      <w:r>
        <w:t>Thus, we propose the following:</w:t>
      </w:r>
    </w:p>
    <w:p w14:paraId="4D2BE558" w14:textId="5AD3B6DA" w:rsidR="007F2602" w:rsidRPr="007F2602" w:rsidRDefault="007F2602" w:rsidP="007F2602">
      <w:pPr>
        <w:pStyle w:val="ListParagraph"/>
        <w:numPr>
          <w:ilvl w:val="0"/>
          <w:numId w:val="10"/>
        </w:numPr>
        <w:jc w:val="both"/>
        <w:rPr>
          <w:b/>
        </w:rPr>
      </w:pPr>
      <w:bookmarkStart w:id="2" w:name="_Ref513472203"/>
      <w:r w:rsidRPr="007F2602">
        <w:rPr>
          <w:b/>
        </w:rPr>
        <w:t>Sum of triggering cells for interference de</w:t>
      </w:r>
      <w:r w:rsidR="003A115B">
        <w:rPr>
          <w:b/>
        </w:rPr>
        <w:t>tection shall be applicable to E</w:t>
      </w:r>
      <w:r w:rsidRPr="007F2602">
        <w:rPr>
          <w:b/>
        </w:rPr>
        <w:t>vents A3, A4 and A5.</w:t>
      </w:r>
      <w:bookmarkEnd w:id="2"/>
    </w:p>
    <w:p w14:paraId="2E7F610B" w14:textId="1A6FE55C" w:rsidR="00D311DC" w:rsidRDefault="00D42A62" w:rsidP="00C72F21">
      <w:pPr>
        <w:pStyle w:val="Heading2"/>
      </w:pPr>
      <w:r>
        <w:t>2.2</w:t>
      </w:r>
      <w:r>
        <w:tab/>
      </w:r>
      <w:r w:rsidR="00617176">
        <w:t>The definition of Event HN and related aspects</w:t>
      </w:r>
    </w:p>
    <w:p w14:paraId="75AA9D4F" w14:textId="1A4D0B56" w:rsidR="00D42A62" w:rsidRDefault="00601C1C" w:rsidP="00BE4D08">
      <w:pPr>
        <w:jc w:val="both"/>
      </w:pPr>
      <w:r>
        <w:t>The description o</w:t>
      </w:r>
      <w:r w:rsidR="009F4844">
        <w:t>f the new Event H1</w:t>
      </w:r>
      <w:r>
        <w:t xml:space="preserve"> states the following</w:t>
      </w:r>
      <w:r w:rsidR="00A14CD2">
        <w:t xml:space="preserve"> </w:t>
      </w:r>
      <w:r w:rsidR="00A14CD2">
        <w:fldChar w:fldCharType="begin"/>
      </w:r>
      <w:r w:rsidR="00A14CD2">
        <w:instrText xml:space="preserve"> REF _Ref513469502 \r \h </w:instrText>
      </w:r>
      <w:r w:rsidR="00A14CD2">
        <w:fldChar w:fldCharType="separate"/>
      </w:r>
      <w:r w:rsidR="00A14CD2">
        <w:t>[1]</w:t>
      </w:r>
      <w:r w:rsidR="00A14CD2">
        <w:fldChar w:fldCharType="end"/>
      </w:r>
      <w:r>
        <w:t>“</w:t>
      </w:r>
      <w:r w:rsidR="009F4844" w:rsidRPr="006C0AB9">
        <w:rPr>
          <w:i/>
        </w:rPr>
        <w:t>Aerial UE height becomes larger than absolute threshold</w:t>
      </w:r>
      <w:r>
        <w:t>”</w:t>
      </w:r>
      <w:r w:rsidR="009D6BA3">
        <w:t>. W</w:t>
      </w:r>
      <w:r w:rsidR="009F4844">
        <w:t>e are fine with the introduction of such event and tend to say the height becomes “larger”, not “higher”</w:t>
      </w:r>
      <w:r w:rsidR="009D6BA3">
        <w:t>.</w:t>
      </w:r>
      <w:r w:rsidR="006C0AB9">
        <w:t xml:space="preserve"> </w:t>
      </w:r>
    </w:p>
    <w:p w14:paraId="32B94E06" w14:textId="47B9B46D" w:rsidR="006C0AB9" w:rsidRDefault="006C0AB9" w:rsidP="006C0AB9">
      <w:pPr>
        <w:pStyle w:val="ListParagraph"/>
        <w:numPr>
          <w:ilvl w:val="0"/>
          <w:numId w:val="10"/>
        </w:numPr>
        <w:jc w:val="both"/>
        <w:rPr>
          <w:b/>
        </w:rPr>
      </w:pPr>
      <w:bookmarkStart w:id="3" w:name="_Ref513472216"/>
      <w:r>
        <w:rPr>
          <w:b/>
        </w:rPr>
        <w:t>RAN2 is asked to keep the current wording and trigger H1 when “height becomes larger than the absolute threshold”</w:t>
      </w:r>
      <w:bookmarkEnd w:id="3"/>
    </w:p>
    <w:p w14:paraId="3A4BA220" w14:textId="5319B10B" w:rsidR="006C0AB9" w:rsidRPr="006C0AB9" w:rsidRDefault="006C0AB9" w:rsidP="006C0AB9">
      <w:pPr>
        <w:jc w:val="both"/>
      </w:pPr>
      <w:r w:rsidRPr="006C0AB9">
        <w:t xml:space="preserve">However, </w:t>
      </w:r>
      <w:r>
        <w:t>for the completeness of the solution 3GPP is introducing in Release 15,</w:t>
      </w:r>
      <w:r w:rsidR="009D6BA3">
        <w:t xml:space="preserve"> we believe there should be also a complementary Event H2, triggered when the height becomes smaller than the absolute threshold. Ascending and descending are two </w:t>
      </w:r>
      <w:r w:rsidR="009A5FC8">
        <w:t xml:space="preserve">inherent phases of the UAV’s flight and both needs to be controlled by the </w:t>
      </w:r>
      <w:r w:rsidR="00157AA0">
        <w:t xml:space="preserve">LTE </w:t>
      </w:r>
      <w:r w:rsidR="009A5FC8">
        <w:t xml:space="preserve">network. Thus, we suggest the following: </w:t>
      </w:r>
    </w:p>
    <w:p w14:paraId="4F2A0175" w14:textId="23C33CAC" w:rsidR="006C0AB9" w:rsidRPr="006C0AB9" w:rsidRDefault="006C0AB9" w:rsidP="006C0AB9">
      <w:pPr>
        <w:pStyle w:val="ListParagraph"/>
        <w:numPr>
          <w:ilvl w:val="0"/>
          <w:numId w:val="10"/>
        </w:numPr>
        <w:jc w:val="both"/>
        <w:rPr>
          <w:b/>
        </w:rPr>
      </w:pPr>
      <w:bookmarkStart w:id="4" w:name="_Ref513472230"/>
      <w:r>
        <w:rPr>
          <w:b/>
        </w:rPr>
        <w:t>RAN2 is asked to introduce a complementary Event H2</w:t>
      </w:r>
      <w:r w:rsidR="00FF38CF">
        <w:rPr>
          <w:b/>
        </w:rPr>
        <w:t>: “Aerial UE’s height becomes smaller than the absolute threshold”</w:t>
      </w:r>
      <w:bookmarkEnd w:id="4"/>
    </w:p>
    <w:p w14:paraId="3D3F3E67" w14:textId="13FA5CB5" w:rsidR="009A5FC8" w:rsidRDefault="009A5FC8" w:rsidP="007102DB">
      <w:pPr>
        <w:jc w:val="both"/>
      </w:pPr>
      <w:r>
        <w:lastRenderedPageBreak/>
        <w:t xml:space="preserve">It should be noted that the term “Aerial UE” could be replaced with “UE” once an </w:t>
      </w:r>
      <w:r w:rsidR="005C3DCA">
        <w:t>“</w:t>
      </w:r>
      <w:r>
        <w:t>aerial subscription</w:t>
      </w:r>
      <w:r w:rsidR="005C3DCA">
        <w:t>”</w:t>
      </w:r>
      <w:r>
        <w:t xml:space="preserve"> is agreed.  Then UE capability will determine whether the UE can be configured with such event or not.</w:t>
      </w:r>
    </w:p>
    <w:p w14:paraId="7A9635DB" w14:textId="0D3A4833" w:rsidR="009A5FC8" w:rsidRPr="00157AA0" w:rsidRDefault="005C3DCA" w:rsidP="00157AA0">
      <w:pPr>
        <w:pStyle w:val="ListParagraph"/>
        <w:numPr>
          <w:ilvl w:val="0"/>
          <w:numId w:val="10"/>
        </w:numPr>
        <w:jc w:val="both"/>
        <w:rPr>
          <w:b/>
        </w:rPr>
      </w:pPr>
      <w:bookmarkStart w:id="5" w:name="_Ref513472243"/>
      <w:r>
        <w:rPr>
          <w:b/>
        </w:rPr>
        <w:t>If a</w:t>
      </w:r>
      <w:r w:rsidR="00157AA0" w:rsidRPr="00157AA0">
        <w:rPr>
          <w:b/>
        </w:rPr>
        <w:t>erial subscription is introduced, it is enough to say “UE’s” instead of “Aerial UE’s” in the definition of events HN.</w:t>
      </w:r>
      <w:bookmarkEnd w:id="5"/>
    </w:p>
    <w:p w14:paraId="67A3FC6E" w14:textId="043FC0A0" w:rsidR="005C3DCA" w:rsidRDefault="003A115B" w:rsidP="007102DB">
      <w:pPr>
        <w:jc w:val="both"/>
      </w:pPr>
      <w:r>
        <w:t>Perhaps less importantly</w:t>
      </w:r>
      <w:r w:rsidR="005C3DCA">
        <w:t>, it has to be pointed out that a common practic</w:t>
      </w:r>
      <w:r w:rsidR="00DD59EF">
        <w:t xml:space="preserve">e </w:t>
      </w:r>
      <w:r w:rsidR="005C3DCA">
        <w:t xml:space="preserve">in </w:t>
      </w:r>
      <w:r w:rsidR="00A14CD2">
        <w:fldChar w:fldCharType="begin"/>
      </w:r>
      <w:r w:rsidR="00A14CD2">
        <w:instrText xml:space="preserve"> REF _Ref513469559 \r \h </w:instrText>
      </w:r>
      <w:r w:rsidR="00A14CD2">
        <w:fldChar w:fldCharType="separate"/>
      </w:r>
      <w:r w:rsidR="00A14CD2">
        <w:t>[2]</w:t>
      </w:r>
      <w:r w:rsidR="00A14CD2">
        <w:fldChar w:fldCharType="end"/>
      </w:r>
      <w:r w:rsidR="00A14CD2">
        <w:t xml:space="preserve"> </w:t>
      </w:r>
      <w:r w:rsidR="00DD59EF">
        <w:t xml:space="preserve">is </w:t>
      </w:r>
      <w:r w:rsidR="00A14CD2">
        <w:t>not to</w:t>
      </w:r>
      <w:r w:rsidR="00DD59EF">
        <w:t xml:space="preserve"> specify the ranges of the variables within the </w:t>
      </w:r>
      <w:r w:rsidR="007C001B">
        <w:t>procedure concerning the event. Thus, we think it is sufficient to state that “</w:t>
      </w:r>
      <w:r w:rsidR="007C001B" w:rsidRPr="007C001B">
        <w:t xml:space="preserve">Ms </w:t>
      </w:r>
      <w:r w:rsidR="007C001B">
        <w:t xml:space="preserve">is the </w:t>
      </w:r>
      <w:r w:rsidR="007C001B" w:rsidRPr="007C001B">
        <w:t>Aerial UE</w:t>
      </w:r>
      <w:r w:rsidR="007C001B">
        <w:t>’s</w:t>
      </w:r>
      <w:r w:rsidR="007C001B" w:rsidRPr="007C001B">
        <w:t xml:space="preserve"> height, not taking into account any offsets</w:t>
      </w:r>
      <w:r w:rsidR="007C001B">
        <w:t>. Ms</w:t>
      </w:r>
      <w:r w:rsidR="007C001B" w:rsidRPr="007C001B">
        <w:t xml:space="preserve"> is expressed in meters</w:t>
      </w:r>
      <w:r w:rsidR="007C001B">
        <w:t>”. The actual range can be found within the ASN.1 definition/field description.</w:t>
      </w:r>
    </w:p>
    <w:p w14:paraId="73901291" w14:textId="2FD2AF83" w:rsidR="007C001B" w:rsidRPr="003A115B" w:rsidRDefault="003A115B" w:rsidP="003A115B">
      <w:pPr>
        <w:pStyle w:val="ListParagraph"/>
        <w:numPr>
          <w:ilvl w:val="0"/>
          <w:numId w:val="10"/>
        </w:numPr>
        <w:jc w:val="both"/>
        <w:rPr>
          <w:b/>
        </w:rPr>
      </w:pPr>
      <w:bookmarkStart w:id="6" w:name="_Ref513472370"/>
      <w:r w:rsidRPr="003A115B">
        <w:rPr>
          <w:b/>
        </w:rPr>
        <w:t>The procedural text related to Event HN shall not comprise the range of Ms (or any other parameters). Those are typically defined in ASN.1 directly.</w:t>
      </w:r>
      <w:bookmarkEnd w:id="6"/>
    </w:p>
    <w:p w14:paraId="308439EE" w14:textId="168C8A78" w:rsidR="00391A6F" w:rsidRDefault="007B6B29" w:rsidP="007102DB">
      <w:pPr>
        <w:jc w:val="both"/>
      </w:pPr>
      <w:r>
        <w:t xml:space="preserve">Last, but not least, </w:t>
      </w:r>
      <w:r w:rsidR="00391A6F">
        <w:t>the term “height” is used in the event description. It is still unclear how should it work and what kind of reference knowledge is provided from the eNB. If the Event HN operates with the “absolute threshold” equal to absolute reference altitude then the UAV can estimate its current altitude (Ms) and compare it with the threshold. However, if Ms ranges from 0 to 300 meters above the ground level (AGL), then additional complications arise. The major</w:t>
      </w:r>
      <w:r w:rsidR="00F053FA">
        <w:t xml:space="preserve"> uncertainty</w:t>
      </w:r>
      <w:r w:rsidR="00391A6F">
        <w:t xml:space="preserve">: how the UAV UE can be aware of the </w:t>
      </w:r>
      <w:r w:rsidR="00F053FA">
        <w:t>ground altitude?</w:t>
      </w:r>
    </w:p>
    <w:p w14:paraId="312AC392" w14:textId="1FF11899" w:rsidR="00790F71" w:rsidRPr="00DD5074" w:rsidRDefault="00F053FA" w:rsidP="007102DB">
      <w:pPr>
        <w:pStyle w:val="ListParagraph"/>
        <w:numPr>
          <w:ilvl w:val="0"/>
          <w:numId w:val="10"/>
        </w:numPr>
        <w:jc w:val="both"/>
        <w:rPr>
          <w:b/>
        </w:rPr>
      </w:pPr>
      <w:bookmarkStart w:id="7" w:name="_Ref513472388"/>
      <w:r w:rsidRPr="00071688">
        <w:rPr>
          <w:b/>
        </w:rPr>
        <w:t xml:space="preserve">RAN2 is asked to discuss and conclude what is the meaning of </w:t>
      </w:r>
      <w:r w:rsidRPr="00DD5074">
        <w:rPr>
          <w:b/>
          <w:i/>
        </w:rPr>
        <w:t>Ms</w:t>
      </w:r>
      <w:r w:rsidRPr="00071688">
        <w:rPr>
          <w:b/>
        </w:rPr>
        <w:t xml:space="preserve"> and </w:t>
      </w:r>
      <w:r w:rsidRPr="00DD5074">
        <w:rPr>
          <w:b/>
          <w:i/>
        </w:rPr>
        <w:t>Thresh</w:t>
      </w:r>
      <w:r w:rsidRPr="00071688">
        <w:rPr>
          <w:b/>
        </w:rPr>
        <w:t xml:space="preserve"> </w:t>
      </w:r>
      <w:r w:rsidR="00071688" w:rsidRPr="00071688">
        <w:rPr>
          <w:b/>
        </w:rPr>
        <w:t xml:space="preserve">variables defined </w:t>
      </w:r>
      <w:r w:rsidRPr="00071688">
        <w:rPr>
          <w:b/>
        </w:rPr>
        <w:t>in</w:t>
      </w:r>
      <w:r w:rsidR="00071688" w:rsidRPr="00071688">
        <w:rPr>
          <w:b/>
        </w:rPr>
        <w:t xml:space="preserve"> Event HN</w:t>
      </w:r>
      <w:bookmarkEnd w:id="7"/>
      <w:r w:rsidRPr="00071688">
        <w:rPr>
          <w:b/>
        </w:rPr>
        <w:t xml:space="preserve"> </w:t>
      </w:r>
    </w:p>
    <w:p w14:paraId="43A12B72" w14:textId="4046CE1C" w:rsidR="00CD4C7B" w:rsidRPr="006E13D1" w:rsidRDefault="00340A10" w:rsidP="00CD4C7B">
      <w:pPr>
        <w:pStyle w:val="Heading1"/>
      </w:pPr>
      <w:r>
        <w:t>3</w:t>
      </w:r>
      <w:r w:rsidR="00602AE0">
        <w:tab/>
        <w:t>Conclusion</w:t>
      </w:r>
    </w:p>
    <w:p w14:paraId="190C81D1" w14:textId="78D31234" w:rsidR="00CD4C7B" w:rsidRDefault="004B5F8B" w:rsidP="00CD4C7B">
      <w:r>
        <w:t>This TDoc</w:t>
      </w:r>
      <w:r w:rsidR="003A115B">
        <w:t xml:space="preserve"> was aimed at resolving several open points regarding UAV measurement reporting and triggering. In the course of the paper we have proposed the following:</w:t>
      </w:r>
    </w:p>
    <w:p w14:paraId="09F3062E" w14:textId="1F1B4627" w:rsidR="00303D43" w:rsidRDefault="00612687" w:rsidP="00BE4D08">
      <w:pPr>
        <w:rPr>
          <w:b/>
        </w:rPr>
      </w:pPr>
      <w:r>
        <w:rPr>
          <w:b/>
        </w:rPr>
        <w:fldChar w:fldCharType="begin"/>
      </w:r>
      <w:r>
        <w:rPr>
          <w:b/>
        </w:rPr>
        <w:instrText xml:space="preserve"> REF _Ref513472203 \r \h </w:instrText>
      </w:r>
      <w:r>
        <w:rPr>
          <w:b/>
        </w:rPr>
      </w:r>
      <w:r>
        <w:rPr>
          <w:b/>
        </w:rPr>
        <w:fldChar w:fldCharType="separate"/>
      </w:r>
      <w:r>
        <w:rPr>
          <w:b/>
        </w:rPr>
        <w:t>Proposal 1:</w:t>
      </w:r>
      <w:r>
        <w:rPr>
          <w:b/>
        </w:rPr>
        <w:fldChar w:fldCharType="end"/>
      </w:r>
      <w:r>
        <w:rPr>
          <w:b/>
        </w:rPr>
        <w:t xml:space="preserve"> </w:t>
      </w:r>
      <w:r>
        <w:rPr>
          <w:b/>
        </w:rPr>
        <w:fldChar w:fldCharType="begin"/>
      </w:r>
      <w:r>
        <w:rPr>
          <w:b/>
        </w:rPr>
        <w:instrText xml:space="preserve"> REF _Ref513472203 \h </w:instrText>
      </w:r>
      <w:r>
        <w:rPr>
          <w:b/>
        </w:rPr>
      </w:r>
      <w:r>
        <w:rPr>
          <w:b/>
        </w:rPr>
        <w:fldChar w:fldCharType="separate"/>
      </w:r>
      <w:r w:rsidRPr="007F2602">
        <w:rPr>
          <w:b/>
        </w:rPr>
        <w:t>Sum of triggering cells for interference de</w:t>
      </w:r>
      <w:r>
        <w:rPr>
          <w:b/>
        </w:rPr>
        <w:t>tection shall be applicable to E</w:t>
      </w:r>
      <w:r w:rsidRPr="007F2602">
        <w:rPr>
          <w:b/>
        </w:rPr>
        <w:t>vents A3, A4 and A5.</w:t>
      </w:r>
      <w:r>
        <w:rPr>
          <w:b/>
        </w:rPr>
        <w:fldChar w:fldCharType="end"/>
      </w:r>
    </w:p>
    <w:p w14:paraId="745EFAFD" w14:textId="56AB5D9B" w:rsidR="00612687" w:rsidRDefault="00612687" w:rsidP="00BE4D08">
      <w:pPr>
        <w:rPr>
          <w:b/>
        </w:rPr>
      </w:pPr>
      <w:r>
        <w:rPr>
          <w:b/>
        </w:rPr>
        <w:fldChar w:fldCharType="begin"/>
      </w:r>
      <w:r>
        <w:rPr>
          <w:b/>
        </w:rPr>
        <w:instrText xml:space="preserve"> REF _Ref513472216 \r \h </w:instrText>
      </w:r>
      <w:r>
        <w:rPr>
          <w:b/>
        </w:rPr>
      </w:r>
      <w:r>
        <w:rPr>
          <w:b/>
        </w:rPr>
        <w:fldChar w:fldCharType="separate"/>
      </w:r>
      <w:r>
        <w:rPr>
          <w:b/>
        </w:rPr>
        <w:t>Proposal 2:</w:t>
      </w:r>
      <w:r>
        <w:rPr>
          <w:b/>
        </w:rPr>
        <w:fldChar w:fldCharType="end"/>
      </w:r>
      <w:r>
        <w:rPr>
          <w:b/>
        </w:rPr>
        <w:t xml:space="preserve"> </w:t>
      </w:r>
      <w:r>
        <w:rPr>
          <w:b/>
        </w:rPr>
        <w:fldChar w:fldCharType="begin"/>
      </w:r>
      <w:r>
        <w:rPr>
          <w:b/>
        </w:rPr>
        <w:instrText xml:space="preserve"> REF _Ref513472216 \h </w:instrText>
      </w:r>
      <w:r>
        <w:rPr>
          <w:b/>
        </w:rPr>
      </w:r>
      <w:r>
        <w:rPr>
          <w:b/>
        </w:rPr>
        <w:fldChar w:fldCharType="separate"/>
      </w:r>
      <w:r>
        <w:rPr>
          <w:b/>
        </w:rPr>
        <w:t>RAN2 is asked to keep the current wording and trigger H1 when “height becomes larger than the absolute threshold”</w:t>
      </w:r>
      <w:r>
        <w:rPr>
          <w:b/>
        </w:rPr>
        <w:fldChar w:fldCharType="end"/>
      </w:r>
    </w:p>
    <w:p w14:paraId="0732F667" w14:textId="42DAB4E1" w:rsidR="00612687" w:rsidRDefault="00612687" w:rsidP="00BE4D08">
      <w:pPr>
        <w:rPr>
          <w:b/>
        </w:rPr>
      </w:pPr>
      <w:r>
        <w:rPr>
          <w:b/>
        </w:rPr>
        <w:fldChar w:fldCharType="begin"/>
      </w:r>
      <w:r>
        <w:rPr>
          <w:b/>
        </w:rPr>
        <w:instrText xml:space="preserve"> REF _Ref513472230 \r \h </w:instrText>
      </w:r>
      <w:r>
        <w:rPr>
          <w:b/>
        </w:rPr>
      </w:r>
      <w:r>
        <w:rPr>
          <w:b/>
        </w:rPr>
        <w:fldChar w:fldCharType="separate"/>
      </w:r>
      <w:r>
        <w:rPr>
          <w:b/>
        </w:rPr>
        <w:t>Proposal 3:</w:t>
      </w:r>
      <w:r>
        <w:rPr>
          <w:b/>
        </w:rPr>
        <w:fldChar w:fldCharType="end"/>
      </w:r>
      <w:r>
        <w:rPr>
          <w:b/>
        </w:rPr>
        <w:t xml:space="preserve"> </w:t>
      </w:r>
      <w:r>
        <w:rPr>
          <w:b/>
        </w:rPr>
        <w:fldChar w:fldCharType="begin"/>
      </w:r>
      <w:r>
        <w:rPr>
          <w:b/>
        </w:rPr>
        <w:instrText xml:space="preserve"> REF _Ref513472230 \h </w:instrText>
      </w:r>
      <w:r>
        <w:rPr>
          <w:b/>
        </w:rPr>
      </w:r>
      <w:r>
        <w:rPr>
          <w:b/>
        </w:rPr>
        <w:fldChar w:fldCharType="separate"/>
      </w:r>
      <w:r>
        <w:rPr>
          <w:b/>
        </w:rPr>
        <w:t>RAN2 is asked to introduce a complementary Event H2: “Aerial UE’s height becomes smaller than the absolute threshold”</w:t>
      </w:r>
      <w:r>
        <w:rPr>
          <w:b/>
        </w:rPr>
        <w:fldChar w:fldCharType="end"/>
      </w:r>
    </w:p>
    <w:p w14:paraId="5B59ECBC" w14:textId="7F496199" w:rsidR="00612687" w:rsidRDefault="00612687" w:rsidP="00BE4D08">
      <w:pPr>
        <w:rPr>
          <w:b/>
        </w:rPr>
      </w:pPr>
      <w:r>
        <w:rPr>
          <w:b/>
        </w:rPr>
        <w:fldChar w:fldCharType="begin"/>
      </w:r>
      <w:r>
        <w:rPr>
          <w:b/>
        </w:rPr>
        <w:instrText xml:space="preserve"> REF _Ref513472243 \r \h </w:instrText>
      </w:r>
      <w:r>
        <w:rPr>
          <w:b/>
        </w:rPr>
      </w:r>
      <w:r>
        <w:rPr>
          <w:b/>
        </w:rPr>
        <w:fldChar w:fldCharType="separate"/>
      </w:r>
      <w:r>
        <w:rPr>
          <w:b/>
        </w:rPr>
        <w:t>Proposal 4:</w:t>
      </w:r>
      <w:r>
        <w:rPr>
          <w:b/>
        </w:rPr>
        <w:fldChar w:fldCharType="end"/>
      </w:r>
      <w:r>
        <w:rPr>
          <w:b/>
        </w:rPr>
        <w:t xml:space="preserve"> </w:t>
      </w:r>
      <w:r>
        <w:rPr>
          <w:b/>
        </w:rPr>
        <w:fldChar w:fldCharType="begin"/>
      </w:r>
      <w:r>
        <w:rPr>
          <w:b/>
        </w:rPr>
        <w:instrText xml:space="preserve"> REF _Ref513472243 \h </w:instrText>
      </w:r>
      <w:r>
        <w:rPr>
          <w:b/>
        </w:rPr>
      </w:r>
      <w:r>
        <w:rPr>
          <w:b/>
        </w:rPr>
        <w:fldChar w:fldCharType="separate"/>
      </w:r>
      <w:r>
        <w:rPr>
          <w:b/>
        </w:rPr>
        <w:t>If a</w:t>
      </w:r>
      <w:r w:rsidRPr="00157AA0">
        <w:rPr>
          <w:b/>
        </w:rPr>
        <w:t>erial subscription is introduced, it is enough to say “UE’s” instead of “Aerial UE’s” in the definition of events HN.</w:t>
      </w:r>
      <w:r>
        <w:rPr>
          <w:b/>
        </w:rPr>
        <w:fldChar w:fldCharType="end"/>
      </w:r>
    </w:p>
    <w:p w14:paraId="3D321761" w14:textId="0D1633AF" w:rsidR="00DD5074" w:rsidRDefault="00DD5074" w:rsidP="00BE4D08">
      <w:pPr>
        <w:rPr>
          <w:b/>
        </w:rPr>
      </w:pPr>
      <w:r>
        <w:rPr>
          <w:b/>
        </w:rPr>
        <w:fldChar w:fldCharType="begin"/>
      </w:r>
      <w:r>
        <w:rPr>
          <w:b/>
        </w:rPr>
        <w:instrText xml:space="preserve"> REF _Ref513472370 \r \h </w:instrText>
      </w:r>
      <w:r>
        <w:rPr>
          <w:b/>
        </w:rPr>
      </w:r>
      <w:r>
        <w:rPr>
          <w:b/>
        </w:rPr>
        <w:fldChar w:fldCharType="separate"/>
      </w:r>
      <w:r>
        <w:rPr>
          <w:b/>
        </w:rPr>
        <w:t>Proposal 5:</w:t>
      </w:r>
      <w:r>
        <w:rPr>
          <w:b/>
        </w:rPr>
        <w:fldChar w:fldCharType="end"/>
      </w:r>
      <w:r>
        <w:rPr>
          <w:b/>
        </w:rPr>
        <w:t xml:space="preserve"> </w:t>
      </w:r>
      <w:r>
        <w:rPr>
          <w:b/>
        </w:rPr>
        <w:fldChar w:fldCharType="begin"/>
      </w:r>
      <w:r>
        <w:rPr>
          <w:b/>
        </w:rPr>
        <w:instrText xml:space="preserve"> REF _Ref513472370 \h </w:instrText>
      </w:r>
      <w:r>
        <w:rPr>
          <w:b/>
        </w:rPr>
      </w:r>
      <w:r>
        <w:rPr>
          <w:b/>
        </w:rPr>
        <w:fldChar w:fldCharType="separate"/>
      </w:r>
      <w:r w:rsidRPr="003A115B">
        <w:rPr>
          <w:b/>
        </w:rPr>
        <w:t>The procedural text related to Event HN shall not comprise the range of Ms (or any other parameters). Those are typically defined in ASN.1 directly.</w:t>
      </w:r>
      <w:r>
        <w:rPr>
          <w:b/>
        </w:rPr>
        <w:fldChar w:fldCharType="end"/>
      </w:r>
    </w:p>
    <w:p w14:paraId="27C98762" w14:textId="6CE7D0B6" w:rsidR="00DD5074" w:rsidRPr="00303D43" w:rsidRDefault="00DD5074" w:rsidP="00BE4D08">
      <w:pPr>
        <w:rPr>
          <w:b/>
        </w:rPr>
      </w:pPr>
      <w:r>
        <w:rPr>
          <w:b/>
        </w:rPr>
        <w:fldChar w:fldCharType="begin"/>
      </w:r>
      <w:r>
        <w:rPr>
          <w:b/>
        </w:rPr>
        <w:instrText xml:space="preserve"> REF _Ref513472388 \r \h </w:instrText>
      </w:r>
      <w:r>
        <w:rPr>
          <w:b/>
        </w:rPr>
      </w:r>
      <w:r>
        <w:rPr>
          <w:b/>
        </w:rPr>
        <w:fldChar w:fldCharType="separate"/>
      </w:r>
      <w:r>
        <w:rPr>
          <w:b/>
        </w:rPr>
        <w:t>Proposal 6:</w:t>
      </w:r>
      <w:r>
        <w:rPr>
          <w:b/>
        </w:rPr>
        <w:fldChar w:fldCharType="end"/>
      </w:r>
      <w:r>
        <w:rPr>
          <w:b/>
        </w:rPr>
        <w:t xml:space="preserve"> </w:t>
      </w:r>
      <w:r>
        <w:rPr>
          <w:b/>
        </w:rPr>
        <w:fldChar w:fldCharType="begin"/>
      </w:r>
      <w:r>
        <w:rPr>
          <w:b/>
        </w:rPr>
        <w:instrText xml:space="preserve"> REF _Ref513472388 \h </w:instrText>
      </w:r>
      <w:r>
        <w:rPr>
          <w:b/>
        </w:rPr>
      </w:r>
      <w:r>
        <w:rPr>
          <w:b/>
        </w:rPr>
        <w:fldChar w:fldCharType="separate"/>
      </w:r>
      <w:r w:rsidR="001A16C2" w:rsidRPr="00071688">
        <w:rPr>
          <w:b/>
        </w:rPr>
        <w:t xml:space="preserve">RAN2 is asked to discuss and conclude what is the meaning of </w:t>
      </w:r>
      <w:r w:rsidR="001A16C2" w:rsidRPr="00DD5074">
        <w:rPr>
          <w:b/>
          <w:i/>
        </w:rPr>
        <w:t>Ms</w:t>
      </w:r>
      <w:r w:rsidR="001A16C2" w:rsidRPr="00071688">
        <w:rPr>
          <w:b/>
        </w:rPr>
        <w:t xml:space="preserve"> and </w:t>
      </w:r>
      <w:r w:rsidR="001A16C2" w:rsidRPr="00DD5074">
        <w:rPr>
          <w:b/>
          <w:i/>
        </w:rPr>
        <w:t>Thresh</w:t>
      </w:r>
      <w:r w:rsidR="001A16C2" w:rsidRPr="00071688">
        <w:rPr>
          <w:b/>
        </w:rPr>
        <w:t xml:space="preserve"> variables defined in Event HN</w:t>
      </w:r>
      <w:r>
        <w:rPr>
          <w:b/>
        </w:rPr>
        <w:fldChar w:fldCharType="end"/>
      </w:r>
    </w:p>
    <w:p w14:paraId="0FDCFAC2" w14:textId="77777777" w:rsidR="00CD4C7B" w:rsidRPr="006E13D1" w:rsidRDefault="00CD4C7B" w:rsidP="00CD4C7B">
      <w:pPr>
        <w:pStyle w:val="Heading1"/>
      </w:pPr>
      <w:r w:rsidRPr="006E13D1">
        <w:t>References</w:t>
      </w:r>
    </w:p>
    <w:p w14:paraId="2B8C910F" w14:textId="47CF2E58" w:rsidR="00CD4C7B" w:rsidRPr="006E13D1" w:rsidRDefault="00302D66" w:rsidP="00302D66">
      <w:pPr>
        <w:numPr>
          <w:ilvl w:val="0"/>
          <w:numId w:val="4"/>
        </w:numPr>
        <w:overflowPunct w:val="0"/>
        <w:autoSpaceDE w:val="0"/>
        <w:autoSpaceDN w:val="0"/>
        <w:adjustRightInd w:val="0"/>
        <w:textAlignment w:val="baseline"/>
      </w:pPr>
      <w:bookmarkStart w:id="8" w:name="_Ref513469502"/>
      <w:bookmarkStart w:id="9" w:name="_Ref75086397"/>
      <w:r>
        <w:t xml:space="preserve">R2-1806528 </w:t>
      </w:r>
      <w:r w:rsidRPr="00302D66">
        <w:rPr>
          <w:i/>
        </w:rPr>
        <w:t>Stage-3 running CR enhanced LTE Support for Aerial Vehicles</w:t>
      </w:r>
      <w:r w:rsidR="00900304">
        <w:t>, 3GPP TSG-RAN WG2 Meeting #101</w:t>
      </w:r>
      <w:r w:rsidR="00591607">
        <w:t>bis</w:t>
      </w:r>
      <w:r w:rsidR="00900304">
        <w:t xml:space="preserve">, </w:t>
      </w:r>
      <w:r w:rsidR="00591607">
        <w:t>Sanya</w:t>
      </w:r>
      <w:r w:rsidR="00900304">
        <w:t xml:space="preserve">, </w:t>
      </w:r>
      <w:r w:rsidR="00591607">
        <w:t>China, 1</w:t>
      </w:r>
      <w:r w:rsidR="00900304">
        <w:t xml:space="preserve">6th </w:t>
      </w:r>
      <w:r w:rsidR="00591607">
        <w:t>–</w:t>
      </w:r>
      <w:r w:rsidR="00900304">
        <w:t xml:space="preserve"> 2</w:t>
      </w:r>
      <w:r w:rsidR="00591607">
        <w:t>0</w:t>
      </w:r>
      <w:r w:rsidR="00591607" w:rsidRPr="00591607">
        <w:rPr>
          <w:vertAlign w:val="superscript"/>
        </w:rPr>
        <w:t>th</w:t>
      </w:r>
      <w:r w:rsidR="00591607">
        <w:t xml:space="preserve"> April</w:t>
      </w:r>
      <w:r w:rsidR="00900304">
        <w:t xml:space="preserve"> 2018</w:t>
      </w:r>
      <w:bookmarkEnd w:id="8"/>
    </w:p>
    <w:p w14:paraId="4AA5C936" w14:textId="6C7641F8" w:rsidR="00CD4C7B" w:rsidRPr="006E13D1" w:rsidRDefault="005C3DCA" w:rsidP="00280403">
      <w:pPr>
        <w:numPr>
          <w:ilvl w:val="0"/>
          <w:numId w:val="4"/>
        </w:numPr>
        <w:overflowPunct w:val="0"/>
        <w:autoSpaceDE w:val="0"/>
        <w:autoSpaceDN w:val="0"/>
        <w:adjustRightInd w:val="0"/>
        <w:textAlignment w:val="baseline"/>
      </w:pPr>
      <w:bookmarkStart w:id="10" w:name="_Ref513469559"/>
      <w:bookmarkEnd w:id="9"/>
      <w:r>
        <w:t>3GPP TS 36.331,</w:t>
      </w:r>
      <w:bookmarkEnd w:id="10"/>
      <w:r>
        <w:t xml:space="preserve"> </w:t>
      </w:r>
      <w:r w:rsidR="00280403">
        <w:rPr>
          <w:i/>
          <w:iCs/>
        </w:rPr>
        <w:t xml:space="preserve">LTE Radio Resource Control (RRC) protocol specification, </w:t>
      </w:r>
      <w:r w:rsidR="00280403" w:rsidRPr="00636119">
        <w:rPr>
          <w:i/>
          <w:iCs/>
        </w:rPr>
        <w:t>V15.1.0 (2018-03)</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33142" w14:textId="77777777" w:rsidR="009B3DA4" w:rsidRDefault="009B3DA4">
      <w:r>
        <w:separator/>
      </w:r>
    </w:p>
  </w:endnote>
  <w:endnote w:type="continuationSeparator" w:id="0">
    <w:p w14:paraId="47B0B038" w14:textId="77777777" w:rsidR="009B3DA4" w:rsidRDefault="009B3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52145" w14:textId="77777777" w:rsidR="009B3DA4" w:rsidRDefault="009B3DA4">
      <w:r>
        <w:separator/>
      </w:r>
    </w:p>
  </w:footnote>
  <w:footnote w:type="continuationSeparator" w:id="0">
    <w:p w14:paraId="7A6ED969" w14:textId="77777777" w:rsidR="009B3DA4" w:rsidRDefault="009B3D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C14F65"/>
    <w:multiLevelType w:val="hybridMultilevel"/>
    <w:tmpl w:val="3B78EFB6"/>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6F4A65"/>
    <w:multiLevelType w:val="hybridMultilevel"/>
    <w:tmpl w:val="89564018"/>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804F8A"/>
    <w:multiLevelType w:val="hybridMultilevel"/>
    <w:tmpl w:val="2C76285E"/>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BA73BEA"/>
    <w:multiLevelType w:val="hybridMultilevel"/>
    <w:tmpl w:val="8A1A70BE"/>
    <w:lvl w:ilvl="0" w:tplc="FF2E1E44">
      <w:start w:val="201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1F6B32"/>
    <w:multiLevelType w:val="hybridMultilevel"/>
    <w:tmpl w:val="5B123A78"/>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491665"/>
    <w:multiLevelType w:val="hybridMultilevel"/>
    <w:tmpl w:val="A9EEA528"/>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8A6051"/>
    <w:multiLevelType w:val="hybridMultilevel"/>
    <w:tmpl w:val="F35242D6"/>
    <w:lvl w:ilvl="0" w:tplc="605E4CF0">
      <w:start w:val="1"/>
      <w:numFmt w:val="decimal"/>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696FD6"/>
    <w:multiLevelType w:val="hybridMultilevel"/>
    <w:tmpl w:val="641CE8C0"/>
    <w:lvl w:ilvl="0" w:tplc="37B22EB8">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704512"/>
    <w:multiLevelType w:val="hybridMultilevel"/>
    <w:tmpl w:val="FB6AAD1C"/>
    <w:lvl w:ilvl="0" w:tplc="DACA341A">
      <w:start w:val="1"/>
      <w:numFmt w:val="decimal"/>
      <w:lvlText w:val="Observation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4F3D69"/>
    <w:multiLevelType w:val="hybridMultilevel"/>
    <w:tmpl w:val="9818481C"/>
    <w:lvl w:ilvl="0" w:tplc="F77AA2CC">
      <w:start w:val="1"/>
      <w:numFmt w:val="decimal"/>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11"/>
  </w:num>
  <w:num w:numId="6">
    <w:abstractNumId w:val="10"/>
  </w:num>
  <w:num w:numId="7">
    <w:abstractNumId w:val="9"/>
  </w:num>
  <w:num w:numId="8">
    <w:abstractNumId w:val="3"/>
  </w:num>
  <w:num w:numId="9">
    <w:abstractNumId w:val="6"/>
  </w:num>
  <w:num w:numId="10">
    <w:abstractNumId w:val="12"/>
  </w:num>
  <w:num w:numId="11">
    <w:abstractNumId w:val="7"/>
  </w:num>
  <w:num w:numId="12">
    <w:abstractNumId w:val="8"/>
  </w:num>
  <w:num w:numId="13">
    <w:abstractNumId w:val="2"/>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03F9"/>
    <w:rsid w:val="00071688"/>
    <w:rsid w:val="00080512"/>
    <w:rsid w:val="0008673A"/>
    <w:rsid w:val="00090468"/>
    <w:rsid w:val="000B7BCF"/>
    <w:rsid w:val="000C0792"/>
    <w:rsid w:val="000C522B"/>
    <w:rsid w:val="000D58AB"/>
    <w:rsid w:val="000F2354"/>
    <w:rsid w:val="00112F1A"/>
    <w:rsid w:val="00123445"/>
    <w:rsid w:val="00145075"/>
    <w:rsid w:val="00153EEE"/>
    <w:rsid w:val="00157AA0"/>
    <w:rsid w:val="001741A0"/>
    <w:rsid w:val="00175FA0"/>
    <w:rsid w:val="00194CD0"/>
    <w:rsid w:val="001A16C2"/>
    <w:rsid w:val="001B49C9"/>
    <w:rsid w:val="001C4F79"/>
    <w:rsid w:val="001F168B"/>
    <w:rsid w:val="001F1719"/>
    <w:rsid w:val="001F7831"/>
    <w:rsid w:val="00204045"/>
    <w:rsid w:val="0020712B"/>
    <w:rsid w:val="0022606D"/>
    <w:rsid w:val="00231728"/>
    <w:rsid w:val="002747EC"/>
    <w:rsid w:val="00280403"/>
    <w:rsid w:val="002855BF"/>
    <w:rsid w:val="00295AFC"/>
    <w:rsid w:val="002F0D22"/>
    <w:rsid w:val="002F32D1"/>
    <w:rsid w:val="00302D66"/>
    <w:rsid w:val="00303D43"/>
    <w:rsid w:val="003172DC"/>
    <w:rsid w:val="00325AE3"/>
    <w:rsid w:val="00326069"/>
    <w:rsid w:val="0033178D"/>
    <w:rsid w:val="00340A10"/>
    <w:rsid w:val="0035462D"/>
    <w:rsid w:val="00364B41"/>
    <w:rsid w:val="00391A6F"/>
    <w:rsid w:val="003A115B"/>
    <w:rsid w:val="003A3549"/>
    <w:rsid w:val="003B40AD"/>
    <w:rsid w:val="003C4E37"/>
    <w:rsid w:val="003E16BE"/>
    <w:rsid w:val="003F5ABC"/>
    <w:rsid w:val="004006E8"/>
    <w:rsid w:val="00401855"/>
    <w:rsid w:val="0043756F"/>
    <w:rsid w:val="00477455"/>
    <w:rsid w:val="004A1F7B"/>
    <w:rsid w:val="004B5F8B"/>
    <w:rsid w:val="004C44D2"/>
    <w:rsid w:val="004C5DA8"/>
    <w:rsid w:val="004D3578"/>
    <w:rsid w:val="004D380D"/>
    <w:rsid w:val="004E213A"/>
    <w:rsid w:val="00503171"/>
    <w:rsid w:val="00506C28"/>
    <w:rsid w:val="00534DA0"/>
    <w:rsid w:val="00543E6C"/>
    <w:rsid w:val="00565087"/>
    <w:rsid w:val="0056573F"/>
    <w:rsid w:val="00591607"/>
    <w:rsid w:val="005C3DCA"/>
    <w:rsid w:val="00601C1C"/>
    <w:rsid w:val="00602AE0"/>
    <w:rsid w:val="00611566"/>
    <w:rsid w:val="00612687"/>
    <w:rsid w:val="00617176"/>
    <w:rsid w:val="00646D99"/>
    <w:rsid w:val="00647E2D"/>
    <w:rsid w:val="00655497"/>
    <w:rsid w:val="00656910"/>
    <w:rsid w:val="006638AF"/>
    <w:rsid w:val="006864AD"/>
    <w:rsid w:val="006C0AB9"/>
    <w:rsid w:val="006C66D8"/>
    <w:rsid w:val="006D1E24"/>
    <w:rsid w:val="006E1417"/>
    <w:rsid w:val="006F6A2C"/>
    <w:rsid w:val="00710201"/>
    <w:rsid w:val="007102DB"/>
    <w:rsid w:val="007342B5"/>
    <w:rsid w:val="00734A5B"/>
    <w:rsid w:val="00744E76"/>
    <w:rsid w:val="00757D40"/>
    <w:rsid w:val="00762960"/>
    <w:rsid w:val="00781F0F"/>
    <w:rsid w:val="0078727C"/>
    <w:rsid w:val="0079049D"/>
    <w:rsid w:val="00790F71"/>
    <w:rsid w:val="007912E3"/>
    <w:rsid w:val="00793566"/>
    <w:rsid w:val="00793DC5"/>
    <w:rsid w:val="007B18D8"/>
    <w:rsid w:val="007B4A9F"/>
    <w:rsid w:val="007B6B29"/>
    <w:rsid w:val="007C001B"/>
    <w:rsid w:val="007C095F"/>
    <w:rsid w:val="007F2602"/>
    <w:rsid w:val="008028A4"/>
    <w:rsid w:val="00813245"/>
    <w:rsid w:val="008768CA"/>
    <w:rsid w:val="00877EF9"/>
    <w:rsid w:val="00880559"/>
    <w:rsid w:val="008B5306"/>
    <w:rsid w:val="008D2E4D"/>
    <w:rsid w:val="008E279B"/>
    <w:rsid w:val="00900304"/>
    <w:rsid w:val="0090271F"/>
    <w:rsid w:val="00902DB9"/>
    <w:rsid w:val="0090466A"/>
    <w:rsid w:val="00921129"/>
    <w:rsid w:val="00936071"/>
    <w:rsid w:val="00940212"/>
    <w:rsid w:val="00942EC2"/>
    <w:rsid w:val="00961B32"/>
    <w:rsid w:val="00970DB3"/>
    <w:rsid w:val="00974BB0"/>
    <w:rsid w:val="00976AEB"/>
    <w:rsid w:val="009A0AF3"/>
    <w:rsid w:val="009A5FC8"/>
    <w:rsid w:val="009B07CD"/>
    <w:rsid w:val="009B3DA4"/>
    <w:rsid w:val="009C19E9"/>
    <w:rsid w:val="009D6BA3"/>
    <w:rsid w:val="009D74A6"/>
    <w:rsid w:val="009F4844"/>
    <w:rsid w:val="00A10F02"/>
    <w:rsid w:val="00A14CD2"/>
    <w:rsid w:val="00A15564"/>
    <w:rsid w:val="00A204CA"/>
    <w:rsid w:val="00A53724"/>
    <w:rsid w:val="00A82346"/>
    <w:rsid w:val="00A84478"/>
    <w:rsid w:val="00A9671C"/>
    <w:rsid w:val="00AA1553"/>
    <w:rsid w:val="00B05962"/>
    <w:rsid w:val="00B15449"/>
    <w:rsid w:val="00B27303"/>
    <w:rsid w:val="00B27487"/>
    <w:rsid w:val="00B33422"/>
    <w:rsid w:val="00B47FD1"/>
    <w:rsid w:val="00B516BB"/>
    <w:rsid w:val="00BC3555"/>
    <w:rsid w:val="00BE4D08"/>
    <w:rsid w:val="00BF45D8"/>
    <w:rsid w:val="00C12B51"/>
    <w:rsid w:val="00C24650"/>
    <w:rsid w:val="00C33079"/>
    <w:rsid w:val="00C72F21"/>
    <w:rsid w:val="00C83A13"/>
    <w:rsid w:val="00C9068C"/>
    <w:rsid w:val="00C92967"/>
    <w:rsid w:val="00CA3D0C"/>
    <w:rsid w:val="00CA654B"/>
    <w:rsid w:val="00CD4C7B"/>
    <w:rsid w:val="00D14F57"/>
    <w:rsid w:val="00D311DC"/>
    <w:rsid w:val="00D33BE3"/>
    <w:rsid w:val="00D3792D"/>
    <w:rsid w:val="00D42A62"/>
    <w:rsid w:val="00D45EBD"/>
    <w:rsid w:val="00D55E47"/>
    <w:rsid w:val="00D62E19"/>
    <w:rsid w:val="00D67CD1"/>
    <w:rsid w:val="00D738D6"/>
    <w:rsid w:val="00D80795"/>
    <w:rsid w:val="00D854BE"/>
    <w:rsid w:val="00D87E00"/>
    <w:rsid w:val="00D9134D"/>
    <w:rsid w:val="00D96D11"/>
    <w:rsid w:val="00DA7A03"/>
    <w:rsid w:val="00DB0DB8"/>
    <w:rsid w:val="00DB1818"/>
    <w:rsid w:val="00DB7654"/>
    <w:rsid w:val="00DC309B"/>
    <w:rsid w:val="00DC4DA2"/>
    <w:rsid w:val="00DC5F12"/>
    <w:rsid w:val="00DD5074"/>
    <w:rsid w:val="00DD59EF"/>
    <w:rsid w:val="00E16D58"/>
    <w:rsid w:val="00E471CF"/>
    <w:rsid w:val="00E62835"/>
    <w:rsid w:val="00E77645"/>
    <w:rsid w:val="00E83697"/>
    <w:rsid w:val="00EC4A25"/>
    <w:rsid w:val="00F01C51"/>
    <w:rsid w:val="00F025A2"/>
    <w:rsid w:val="00F053FA"/>
    <w:rsid w:val="00F07388"/>
    <w:rsid w:val="00F2026E"/>
    <w:rsid w:val="00F2210A"/>
    <w:rsid w:val="00F37743"/>
    <w:rsid w:val="00F54A3D"/>
    <w:rsid w:val="00F54CB0"/>
    <w:rsid w:val="00F653B8"/>
    <w:rsid w:val="00F71B89"/>
    <w:rsid w:val="00F7353C"/>
    <w:rsid w:val="00F76F8F"/>
    <w:rsid w:val="00FA0D88"/>
    <w:rsid w:val="00FA1266"/>
    <w:rsid w:val="00FB36FA"/>
    <w:rsid w:val="00FC1192"/>
    <w:rsid w:val="00FC29E3"/>
    <w:rsid w:val="00FE251B"/>
    <w:rsid w:val="00FF38C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D14F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311DC"/>
    <w:pPr>
      <w:ind w:left="720"/>
      <w:contextualSpacing/>
    </w:pPr>
  </w:style>
  <w:style w:type="character" w:styleId="CommentReference">
    <w:name w:val="annotation reference"/>
    <w:basedOn w:val="DefaultParagraphFont"/>
    <w:rsid w:val="00612687"/>
    <w:rPr>
      <w:sz w:val="16"/>
      <w:szCs w:val="16"/>
    </w:rPr>
  </w:style>
  <w:style w:type="paragraph" w:styleId="CommentText">
    <w:name w:val="annotation text"/>
    <w:basedOn w:val="Normal"/>
    <w:link w:val="CommentTextChar"/>
    <w:rsid w:val="00612687"/>
  </w:style>
  <w:style w:type="character" w:customStyle="1" w:styleId="CommentTextChar">
    <w:name w:val="Comment Text Char"/>
    <w:basedOn w:val="DefaultParagraphFont"/>
    <w:link w:val="CommentText"/>
    <w:rsid w:val="00612687"/>
    <w:rPr>
      <w:lang w:eastAsia="en-US"/>
    </w:rPr>
  </w:style>
  <w:style w:type="paragraph" w:styleId="CommentSubject">
    <w:name w:val="annotation subject"/>
    <w:basedOn w:val="CommentText"/>
    <w:next w:val="CommentText"/>
    <w:link w:val="CommentSubjectChar"/>
    <w:rsid w:val="00612687"/>
    <w:rPr>
      <w:b/>
      <w:bCs/>
    </w:rPr>
  </w:style>
  <w:style w:type="character" w:customStyle="1" w:styleId="CommentSubjectChar">
    <w:name w:val="Comment Subject Char"/>
    <w:basedOn w:val="CommentTextChar"/>
    <w:link w:val="CommentSubject"/>
    <w:rsid w:val="0061268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80741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5AIRPNAIUNRU-859666464-1901</_dlc_DocId>
    <Information xmlns="3b34c8f0-1ef5-4d1e-bb66-517ce7fe7356" xsi:nil="true"/>
    <_dlc_DocIdUrl xmlns="71c5aaf6-e6ce-465b-b873-5148d2a4c105">
      <Url>https://nokia.sharepoint.com/sites/c5g/e2earch/_layouts/15/DocIdRedir.aspx?ID=5AIRPNAIUNRU-859666464-1901</Url>
      <Description>5AIRPNAIUNRU-859666464-1901</Description>
    </_dlc_DocIdUrl>
    <Associated_x0020_Task xmlns="3b34c8f0-1ef5-4d1e-bb66-517ce7fe7356"/>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0A57E-14B5-4FB9-B693-3A6E1E9345F3}">
  <ds:schemaRefs>
    <ds:schemaRef ds:uri="Microsoft.SharePoint.Taxonomy.ContentTypeSync"/>
  </ds:schemaRefs>
</ds:datastoreItem>
</file>

<file path=customXml/itemProps2.xml><?xml version="1.0" encoding="utf-8"?>
<ds:datastoreItem xmlns:ds="http://schemas.openxmlformats.org/officeDocument/2006/customXml" ds:itemID="{DEBD0367-12C0-41A3-A518-41B77C76F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E9779D-DC8E-4A50-8E49-6329F169E323}">
  <ds:schemaRefs>
    <ds:schemaRef ds:uri="http://schemas.microsoft.com/office/2006/metadata/properties"/>
    <ds:schemaRef ds:uri="http://purl.org/dc/elements/1.1/"/>
    <ds:schemaRef ds:uri="http://schemas.microsoft.com/office/2006/documentManagement/types"/>
    <ds:schemaRef ds:uri="http://purl.org/dc/dcmitype/"/>
    <ds:schemaRef ds:uri="83f22d2f-d16e-4be6-ad4f-29fa0b067c3c"/>
    <ds:schemaRef ds:uri="http://purl.org/dc/terms/"/>
    <ds:schemaRef ds:uri="71c5aaf6-e6ce-465b-b873-5148d2a4c105"/>
    <ds:schemaRef ds:uri="3b34c8f0-1ef5-4d1e-bb66-517ce7fe7356"/>
    <ds:schemaRef ds:uri="a3840f4f-04be-43d1-b2ef-6ff1382503c7"/>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B614650B-30BC-4FB2-B5CE-8F7B773D6130}">
  <ds:schemaRefs>
    <ds:schemaRef ds:uri="http://schemas.microsoft.com/sharepoint/v3/contenttype/forms"/>
  </ds:schemaRefs>
</ds:datastoreItem>
</file>

<file path=customXml/itemProps5.xml><?xml version="1.0" encoding="utf-8"?>
<ds:datastoreItem xmlns:ds="http://schemas.openxmlformats.org/officeDocument/2006/customXml" ds:itemID="{4E533BD5-FC12-4C4D-B2BD-6F4DAE22A081}">
  <ds:schemaRefs>
    <ds:schemaRef ds:uri="http://schemas.microsoft.com/sharepoint/events"/>
  </ds:schemaRefs>
</ds:datastoreItem>
</file>

<file path=customXml/itemProps6.xml><?xml version="1.0" encoding="utf-8"?>
<ds:datastoreItem xmlns:ds="http://schemas.openxmlformats.org/officeDocument/2006/customXml" ds:itemID="{9632DF0D-6763-4612-8765-B4EE65601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121</TotalTime>
  <Pages>2</Pages>
  <Words>879</Words>
  <Characters>4894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5762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31</cp:revision>
  <dcterms:created xsi:type="dcterms:W3CDTF">2018-05-07T11:50:00Z</dcterms:created>
  <dcterms:modified xsi:type="dcterms:W3CDTF">2018-05-10T15:30:00Z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de9f2cc2-5934-4198-9001-c5dcbbc8b37e</vt:lpwstr>
  </property>
</Properties>
</file>